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BD52E2" w:rsidP="00DE02B3">
      <w:r>
        <w:rPr>
          <w:noProof/>
        </w:rPr>
        <w:drawing>
          <wp:inline distT="0" distB="0" distL="0" distR="0">
            <wp:extent cx="2753109" cy="1066949"/>
            <wp:effectExtent l="0" t="0" r="9525" b="0"/>
            <wp:docPr id="191" name="圖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7E0F31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09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2E2" w:rsidRDefault="00F52D7A" w:rsidP="00BD52E2">
      <w:pPr>
        <w:pStyle w:val="1"/>
        <w:spacing w:before="0" w:beforeAutospacing="0" w:after="300" w:afterAutospacing="0"/>
        <w:rPr>
          <w:rFonts w:ascii="Times New Roman" w:hAnsi="Times New Roman" w:cs="Times New Roman"/>
          <w:color w:val="212121"/>
          <w:sz w:val="57"/>
          <w:szCs w:val="57"/>
        </w:rPr>
      </w:pPr>
      <w:hyperlink r:id="rId6" w:history="1">
        <w:r>
          <w:rPr>
            <w:rFonts w:ascii="Oswald" w:hAnsi="Oswald" w:cs="Open Sans"/>
            <w:b w:val="0"/>
            <w:bCs w:val="0"/>
            <w:color w:val="404040"/>
            <w:sz w:val="27"/>
            <w:szCs w:val="27"/>
          </w:rPr>
          <w:br/>
        </w:r>
      </w:hyperlink>
      <w:r w:rsidR="00BD52E2">
        <w:rPr>
          <w:rFonts w:ascii="Times New Roman" w:hAnsi="Times New Roman" w:cs="Times New Roman"/>
          <w:color w:val="212121"/>
          <w:sz w:val="57"/>
          <w:szCs w:val="57"/>
        </w:rPr>
        <w:t>激發新</w:t>
      </w:r>
      <w:proofErr w:type="gramStart"/>
      <w:r w:rsidR="00BD52E2">
        <w:rPr>
          <w:rFonts w:ascii="Times New Roman" w:hAnsi="Times New Roman" w:cs="Times New Roman"/>
          <w:color w:val="212121"/>
          <w:sz w:val="57"/>
          <w:szCs w:val="57"/>
        </w:rPr>
        <w:t>世代跨域創意</w:t>
      </w:r>
      <w:proofErr w:type="gramEnd"/>
      <w:r w:rsidR="00BD52E2">
        <w:rPr>
          <w:rFonts w:ascii="Times New Roman" w:hAnsi="Times New Roman" w:cs="Times New Roman"/>
          <w:color w:val="212121"/>
          <w:sz w:val="57"/>
          <w:szCs w:val="57"/>
        </w:rPr>
        <w:t>成果豐碩</w:t>
      </w:r>
      <w:r w:rsidR="00BD52E2">
        <w:rPr>
          <w:rFonts w:ascii="Times New Roman" w:hAnsi="Times New Roman" w:cs="Times New Roman"/>
          <w:color w:val="212121"/>
          <w:sz w:val="57"/>
          <w:szCs w:val="57"/>
        </w:rPr>
        <w:t xml:space="preserve"> </w:t>
      </w:r>
      <w:r w:rsidR="00BD52E2">
        <w:rPr>
          <w:rFonts w:ascii="Times New Roman" w:hAnsi="Times New Roman" w:cs="Times New Roman"/>
          <w:color w:val="212121"/>
          <w:sz w:val="57"/>
          <w:szCs w:val="57"/>
        </w:rPr>
        <w:t>輔英科大數位人文</w:t>
      </w:r>
      <w:r w:rsidR="00BD52E2">
        <w:rPr>
          <w:rFonts w:ascii="Times New Roman" w:hAnsi="Times New Roman" w:cs="Times New Roman"/>
          <w:color w:val="212121"/>
          <w:sz w:val="57"/>
          <w:szCs w:val="57"/>
        </w:rPr>
        <w:t>×</w:t>
      </w:r>
      <w:r w:rsidR="00BD52E2">
        <w:rPr>
          <w:rFonts w:ascii="Times New Roman" w:hAnsi="Times New Roman" w:cs="Times New Roman"/>
          <w:color w:val="212121"/>
          <w:sz w:val="57"/>
          <w:szCs w:val="57"/>
        </w:rPr>
        <w:t>美容科技匯聚全國菁英</w:t>
      </w:r>
    </w:p>
    <w:p w:rsidR="00BD52E2" w:rsidRDefault="00BD52E2" w:rsidP="00BD52E2">
      <w:pPr>
        <w:rPr>
          <w:rFonts w:ascii="Times New Roman" w:hAnsi="Times New Roman" w:cs="Times New Roman"/>
          <w:color w:val="718096"/>
          <w:szCs w:val="24"/>
        </w:rPr>
      </w:pPr>
      <w:bookmarkStart w:id="0" w:name="_GoBack"/>
      <w:bookmarkEnd w:id="0"/>
      <w:r>
        <w:rPr>
          <w:rStyle w:val="bs-author"/>
          <w:rFonts w:ascii="Times New Roman" w:hAnsi="Times New Roman" w:cs="Times New Roman"/>
          <w:color w:val="718096"/>
          <w:sz w:val="23"/>
          <w:szCs w:val="23"/>
        </w:rPr>
        <w:t> By </w:t>
      </w:r>
      <w:hyperlink r:id="rId7" w:history="1">
        <w:r>
          <w:rPr>
            <w:rStyle w:val="a3"/>
            <w:rFonts w:ascii="Times New Roman" w:hAnsi="Times New Roman" w:cs="Times New Roman"/>
            <w:color w:val="718096"/>
            <w:sz w:val="23"/>
            <w:szCs w:val="23"/>
          </w:rPr>
          <w:t>新聞聯訪中心</w:t>
        </w:r>
      </w:hyperlink>
      <w:r>
        <w:rPr>
          <w:rStyle w:val="bs-author"/>
          <w:rFonts w:ascii="Times New Roman" w:hAnsi="Times New Roman" w:cs="Times New Roman"/>
          <w:color w:val="718096"/>
          <w:sz w:val="23"/>
          <w:szCs w:val="23"/>
        </w:rPr>
        <w:t> </w:t>
      </w:r>
      <w:r>
        <w:rPr>
          <w:rStyle w:val="bs-blog-date"/>
          <w:rFonts w:ascii="Times New Roman" w:hAnsi="Times New Roman" w:cs="Times New Roman"/>
          <w:color w:val="718096"/>
          <w:sz w:val="23"/>
          <w:szCs w:val="23"/>
        </w:rPr>
        <w:t> </w:t>
      </w:r>
      <w:hyperlink r:id="rId8" w:history="1">
        <w:r>
          <w:rPr>
            <w:rStyle w:val="a3"/>
            <w:rFonts w:ascii="Times New Roman" w:hAnsi="Times New Roman" w:cs="Times New Roman"/>
            <w:color w:val="718096"/>
            <w:sz w:val="23"/>
            <w:szCs w:val="23"/>
          </w:rPr>
          <w:t xml:space="preserve">12 </w:t>
        </w:r>
        <w:r>
          <w:rPr>
            <w:rStyle w:val="a3"/>
            <w:rFonts w:ascii="Times New Roman" w:hAnsi="Times New Roman" w:cs="Times New Roman"/>
            <w:color w:val="718096"/>
            <w:sz w:val="23"/>
            <w:szCs w:val="23"/>
          </w:rPr>
          <w:t>月</w:t>
        </w:r>
        <w:r>
          <w:rPr>
            <w:rStyle w:val="a3"/>
            <w:rFonts w:ascii="Times New Roman" w:hAnsi="Times New Roman" w:cs="Times New Roman"/>
            <w:color w:val="718096"/>
            <w:sz w:val="23"/>
            <w:szCs w:val="23"/>
          </w:rPr>
          <w:t xml:space="preserve"> 11, 2025</w:t>
        </w:r>
      </w:hyperlink>
    </w:p>
    <w:p w:rsidR="00BD52E2" w:rsidRDefault="00BD52E2" w:rsidP="00BD52E2">
      <w:pPr>
        <w:rPr>
          <w:rFonts w:ascii="Times New Roman" w:hAnsi="Times New Roman" w:cs="Times New Roman"/>
          <w:color w:val="5B5B5B"/>
        </w:rPr>
      </w:pPr>
      <w:r>
        <w:rPr>
          <w:rFonts w:ascii="Times New Roman" w:hAnsi="Times New Roman" w:cs="Times New Roman"/>
          <w:noProof/>
          <w:color w:val="5B5B5B"/>
        </w:rPr>
        <w:drawing>
          <wp:inline distT="0" distB="0" distL="0" distR="0">
            <wp:extent cx="5461000" cy="4095750"/>
            <wp:effectExtent l="0" t="0" r="6350" b="0"/>
            <wp:docPr id="194" name="圖片 194" descr="https://times.586.com.tw/wp-content/uploads/2025/12/IMG_6059-800x600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https://times.586.com.tw/wp-content/uploads/2025/12/IMG_6059-800x600-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463" cy="409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2E2" w:rsidRDefault="00BD52E2" w:rsidP="00BD52E2">
      <w:pPr>
        <w:pStyle w:val="Web"/>
        <w:spacing w:before="0" w:beforeAutospacing="0"/>
        <w:rPr>
          <w:color w:val="718096"/>
        </w:rPr>
      </w:pPr>
      <w:r>
        <w:rPr>
          <w:noProof/>
          <w:color w:val="718096"/>
        </w:rPr>
        <w:lastRenderedPageBreak/>
        <w:drawing>
          <wp:inline distT="0" distB="0" distL="0" distR="0">
            <wp:extent cx="5499100" cy="4124325"/>
            <wp:effectExtent l="0" t="0" r="6350" b="9525"/>
            <wp:docPr id="193" name="圖片 193" descr="https://focusnews.com.tw/wp-content/uploads/2025/12/IMG_6059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https://focusnews.com.tw/wp-content/uploads/2025/12/IMG_6059-800x600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718096"/>
        </w:rPr>
        <w:br/>
        <w:t>【今傳媒/記者李祖東報導】</w:t>
      </w:r>
      <w:r>
        <w:rPr>
          <w:color w:val="718096"/>
        </w:rPr>
        <w:br/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color w:val="718096"/>
        </w:rPr>
        <w:t>推動跨域整合</w:t>
      </w:r>
      <w:proofErr w:type="gramEnd"/>
      <w:r>
        <w:rPr>
          <w:color w:val="718096"/>
        </w:rPr>
        <w:t>教育，盼學生能在真實情境中展現研究成果、挑戰創新思維，同時鏈結產業需求。</w:t>
      </w:r>
      <w:r>
        <w:rPr>
          <w:color w:val="718096"/>
        </w:rPr>
        <w:br/>
        <w:t>「2025全國健康美容科技研討會暨專題競賽」由健康美容系主辦，吸引產官學界專家與多所大專、高中職校共同參與。研討會涵蓋專題演講、海報論文發表與學生專題競賽，是全台健康美容領域的重要年度盛事。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  <w:r>
        <w:rPr>
          <w:color w:val="718096"/>
        </w:rPr>
        <w:br/>
        <w:t>該校與中華長生美學再生醫學會及中華美容美</w:t>
      </w:r>
      <w:proofErr w:type="gramStart"/>
      <w:r>
        <w:rPr>
          <w:color w:val="718096"/>
        </w:rPr>
        <w:t>睫</w:t>
      </w:r>
      <w:proofErr w:type="gramEnd"/>
      <w:r>
        <w:rPr>
          <w:color w:val="718096"/>
        </w:rPr>
        <w:t>發展協會正式簽署MOU策略聯盟，共同推動美容健康領域之專業交流與人才培育。中華美容美</w:t>
      </w:r>
      <w:proofErr w:type="gramStart"/>
      <w:r>
        <w:rPr>
          <w:color w:val="718096"/>
        </w:rPr>
        <w:t>睫</w:t>
      </w:r>
      <w:proofErr w:type="gramEnd"/>
      <w:r>
        <w:rPr>
          <w:color w:val="718096"/>
        </w:rPr>
        <w:t>發展協會具勞動部TTQS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color w:val="718096"/>
        </w:rPr>
        <w:t>涯</w:t>
      </w:r>
      <w:proofErr w:type="gramEnd"/>
      <w:r>
        <w:rPr>
          <w:color w:val="718096"/>
        </w:rPr>
        <w:t>競爭力，為美容科技教育注入新動能。</w:t>
      </w:r>
      <w:r>
        <w:rPr>
          <w:color w:val="718096"/>
        </w:rPr>
        <w:br/>
        <w:t>醫學與健康學院陳中一院長兼健康美容系主任表示，今年研討會以「再生醫學與美容</w:t>
      </w:r>
      <w:proofErr w:type="gramStart"/>
      <w:r>
        <w:rPr>
          <w:color w:val="718096"/>
        </w:rPr>
        <w:t>科技跨域整合</w:t>
      </w:r>
      <w:proofErr w:type="gramEnd"/>
      <w:r>
        <w:rPr>
          <w:color w:val="718096"/>
        </w:rPr>
        <w:t>」為核心，期望透過專家分享與學生競賽，強化產學</w:t>
      </w:r>
      <w:proofErr w:type="gramStart"/>
      <w:r>
        <w:rPr>
          <w:color w:val="718096"/>
        </w:rPr>
        <w:t>研</w:t>
      </w:r>
      <w:proofErr w:type="gramEnd"/>
      <w:r>
        <w:rPr>
          <w:color w:val="718096"/>
        </w:rPr>
        <w:t>合作、促進創新美容科技的推動，也鼓勵學生將所學應用於實務場域，</w:t>
      </w:r>
      <w:proofErr w:type="gramStart"/>
      <w:r>
        <w:rPr>
          <w:color w:val="718096"/>
        </w:rPr>
        <w:t>展現跨域整合</w:t>
      </w:r>
      <w:proofErr w:type="gramEnd"/>
      <w:r>
        <w:rPr>
          <w:color w:val="718096"/>
        </w:rPr>
        <w:t>與研究能力。</w:t>
      </w:r>
      <w:r>
        <w:rPr>
          <w:color w:val="718096"/>
        </w:rPr>
        <w:br/>
      </w:r>
      <w:r>
        <w:rPr>
          <w:color w:val="718096"/>
        </w:rPr>
        <w:lastRenderedPageBreak/>
        <w:t>最受矚目的是由中華長生美學再生醫學會理事長、三軍總醫院整形外科兼任主治醫師戴念梓教授主講「細胞再生醫學與外</w:t>
      </w:r>
      <w:proofErr w:type="gramStart"/>
      <w:r>
        <w:rPr>
          <w:color w:val="718096"/>
        </w:rPr>
        <w:t>泌</w:t>
      </w:r>
      <w:proofErr w:type="gramEnd"/>
      <w:r>
        <w:rPr>
          <w:color w:val="718096"/>
        </w:rPr>
        <w:t>體多元應用」。戴教授分享最新臨床案例，如自體脂肪幹細胞在慢性傷口修復上的成功經驗，並解析外</w:t>
      </w:r>
      <w:proofErr w:type="gramStart"/>
      <w:r>
        <w:rPr>
          <w:color w:val="718096"/>
        </w:rPr>
        <w:t>泌</w:t>
      </w:r>
      <w:proofErr w:type="gramEnd"/>
      <w:r>
        <w:rPr>
          <w:color w:val="718096"/>
        </w:rPr>
        <w:t>體如何透過生長因子、核酸與蛋白質促進肌膚修復、抗發炎與抗老化。未來細胞再生可跨入</w:t>
      </w:r>
      <w:proofErr w:type="gramStart"/>
      <w:r>
        <w:rPr>
          <w:color w:val="718096"/>
        </w:rPr>
        <w:t>醫</w:t>
      </w:r>
      <w:proofErr w:type="gramEnd"/>
      <w:r>
        <w:rPr>
          <w:color w:val="718096"/>
        </w:rPr>
        <w:t>美光電療程、中醫、保養品甚至寵物醫療領域，但強調創新應在合法、安全的基礎上推動，才能真正造福人類。</w:t>
      </w:r>
      <w:r>
        <w:rPr>
          <w:color w:val="718096"/>
        </w:rPr>
        <w:br/>
        <w:t>健康美容系柯美華副主任表示，研討會徵稿涵蓋美容保健、美容造型、美容科技、家政生活應用等領域，通過審查的論文將集結出版並申請ISBN，提高學生研究成果的學術能見度。專題競賽分大專組與高中組，優秀作品也在會中公開表揚，展現學生的創意與科技應用能力。</w:t>
      </w:r>
    </w:p>
    <w:p w:rsidR="00BD52E2" w:rsidRDefault="00BD52E2" w:rsidP="00BD52E2">
      <w:pPr>
        <w:pStyle w:val="Web"/>
        <w:spacing w:before="0" w:beforeAutospacing="0"/>
        <w:rPr>
          <w:color w:val="718096"/>
        </w:rPr>
      </w:pPr>
      <w:r>
        <w:rPr>
          <w:noProof/>
          <w:color w:val="718096"/>
        </w:rPr>
        <w:drawing>
          <wp:inline distT="0" distB="0" distL="0" distR="0">
            <wp:extent cx="5588000" cy="4191000"/>
            <wp:effectExtent l="0" t="0" r="0" b="0"/>
            <wp:docPr id="192" name="圖片 192" descr="https://focusnews.com.tw/wp-content/uploads/2025/12/IMG_6057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https://focusnews.com.tw/wp-content/uploads/2025/12/IMG_6057-800x600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718096"/>
        </w:rPr>
        <w:br/>
        <w:t>另場「2025全國數位人文學生實務專題競賽」，由輔英科大人文與管理學院主辦，幼兒保育暨產業系、資訊科技與管理系、應用外語科及休閒與遊憩事業管理系共同承辦，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color w:val="718096"/>
        </w:rPr>
        <w:t>旗勝科技</w:t>
      </w:r>
      <w:proofErr w:type="gramEnd"/>
      <w:r>
        <w:rPr>
          <w:color w:val="718096"/>
        </w:rPr>
        <w:t>公司協辦。競賽設大專組與</w:t>
      </w:r>
      <w:proofErr w:type="gramStart"/>
      <w:r>
        <w:rPr>
          <w:color w:val="718096"/>
        </w:rPr>
        <w:t>高中職組</w:t>
      </w:r>
      <w:proofErr w:type="gramEnd"/>
      <w:r>
        <w:rPr>
          <w:color w:val="718096"/>
        </w:rPr>
        <w:t>，作品形式多元，包括論文、動畫、影片、</w:t>
      </w:r>
      <w:proofErr w:type="gramStart"/>
      <w:r>
        <w:rPr>
          <w:color w:val="718096"/>
        </w:rPr>
        <w:t>桌遊</w:t>
      </w:r>
      <w:proofErr w:type="gramEnd"/>
      <w:r>
        <w:rPr>
          <w:color w:val="718096"/>
        </w:rPr>
        <w:t>、APP等，體現數位、人文跨領域的創作自由度與實務應用潛力。</w:t>
      </w:r>
      <w:r>
        <w:rPr>
          <w:color w:val="718096"/>
        </w:rPr>
        <w:br/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>
        <w:rPr>
          <w:color w:val="718096"/>
        </w:rPr>
        <w:br/>
      </w:r>
      <w:r>
        <w:rPr>
          <w:color w:val="718096"/>
        </w:rPr>
        <w:lastRenderedPageBreak/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  <w:r>
        <w:rPr>
          <w:color w:val="718096"/>
        </w:rPr>
        <w:br/>
        <w:t>競賽成績揭曉，輔英科大在兩項全國性競賽中皆奪下大專組第一名，展現卓越實作與創新能力。</w:t>
      </w:r>
      <w:proofErr w:type="gramStart"/>
      <w:r>
        <w:rPr>
          <w:color w:val="718096"/>
        </w:rPr>
        <w:t>高中職組方面</w:t>
      </w:r>
      <w:proofErr w:type="gramEnd"/>
      <w:r>
        <w:rPr>
          <w:color w:val="718096"/>
        </w:rPr>
        <w:t>，健康美容科技競賽由旗山</w:t>
      </w:r>
      <w:proofErr w:type="gramStart"/>
      <w:r>
        <w:rPr>
          <w:color w:val="718096"/>
        </w:rPr>
        <w:t>農工奪冠</w:t>
      </w:r>
      <w:proofErr w:type="gramEnd"/>
      <w:r>
        <w:rPr>
          <w:color w:val="718096"/>
        </w:rPr>
        <w:t>，數位人文競賽則由樹德家商摘下第一名，整體表現亮眼。</w:t>
      </w:r>
    </w:p>
    <w:p w:rsidR="00DE02B3" w:rsidRPr="00BD52E2" w:rsidRDefault="00DE02B3" w:rsidP="00F52D7A">
      <w:pPr>
        <w:rPr>
          <w:rFonts w:hint="eastAsia"/>
        </w:rPr>
      </w:pPr>
    </w:p>
    <w:sectPr w:rsidR="00DE02B3" w:rsidRPr="00BD52E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A537D"/>
    <w:rsid w:val="001D5BD4"/>
    <w:rsid w:val="00212F09"/>
    <w:rsid w:val="00212F20"/>
    <w:rsid w:val="00246962"/>
    <w:rsid w:val="00264EB5"/>
    <w:rsid w:val="00284253"/>
    <w:rsid w:val="00284DEE"/>
    <w:rsid w:val="002E1D63"/>
    <w:rsid w:val="002E4021"/>
    <w:rsid w:val="00315A80"/>
    <w:rsid w:val="00333699"/>
    <w:rsid w:val="003556C0"/>
    <w:rsid w:val="003A7786"/>
    <w:rsid w:val="003C69DA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F4939"/>
    <w:rsid w:val="00610625"/>
    <w:rsid w:val="006327C1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82007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D52E2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6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date/2025/1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imes.586.com.tw/author/new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ews-life.com.tw/2025/12/631101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2025-12-17T03:36:00Z</dcterms:created>
  <dcterms:modified xsi:type="dcterms:W3CDTF">2025-12-17T03:37:00Z</dcterms:modified>
</cp:coreProperties>
</file>